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36"/>
        </w:rPr>
      </w:pPr>
      <w:r>
        <w:rPr>
          <w:rFonts w:ascii="Times New Roman" w:cs="Times New Roman" w:hAnsi="Times New Roman" w:hint="eastAsia"/>
          <w:b/>
          <w:bCs/>
          <w:sz w:val="36"/>
        </w:rPr>
        <w:t>单跨承重结构设计与模型加载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Cs w:val="21"/>
        </w:rPr>
      </w:pPr>
      <w:r>
        <w:rPr>
          <w:rFonts w:ascii="Times New Roman" w:cs="Times New Roman" w:hAnsi="Times New Roman" w:hint="eastAsia"/>
          <w:b/>
          <w:bCs/>
          <w:szCs w:val="21"/>
        </w:rPr>
        <w:t>一、任务要求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 xml:space="preserve">1. </w:t>
      </w:r>
      <w:r>
        <w:rPr>
          <w:rFonts w:ascii="Times New Roman" w:cs="Times New Roman" w:hAnsi="Times New Roman" w:hint="eastAsia"/>
          <w:szCs w:val="21"/>
        </w:rPr>
        <w:t>要求</w:t>
      </w:r>
      <w:r>
        <w:rPr>
          <w:rFonts w:ascii="Times New Roman" w:cs="Times New Roman" w:hAnsi="Times New Roman"/>
          <w:b/>
          <w:bCs/>
          <w:szCs w:val="21"/>
        </w:rPr>
        <w:t>3</w:t>
      </w:r>
      <w:r>
        <w:rPr>
          <w:rFonts w:ascii="Times New Roman" w:cs="Times New Roman" w:hAnsi="Times New Roman" w:hint="eastAsia"/>
          <w:b/>
          <w:bCs/>
          <w:szCs w:val="21"/>
        </w:rPr>
        <w:t>个人</w:t>
      </w:r>
      <w:r>
        <w:rPr>
          <w:rFonts w:ascii="Times New Roman" w:cs="Times New Roman" w:hAnsi="Times New Roman" w:hint="eastAsia"/>
          <w:szCs w:val="21"/>
        </w:rPr>
        <w:t>组队完成任务，考验团队配合能力；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 xml:space="preserve">2. </w:t>
      </w:r>
      <w:r>
        <w:rPr>
          <w:rFonts w:ascii="Times New Roman" w:cs="Times New Roman" w:hAnsi="Times New Roman" w:hint="eastAsia"/>
          <w:szCs w:val="21"/>
        </w:rPr>
        <w:t>用所发的白卡纸和白乳胶设计、制作一个高度</w:t>
      </w:r>
      <w:r>
        <w:rPr>
          <w:rFonts w:ascii="Times New Roman" w:cs="Times New Roman" w:hAnsi="Times New Roman"/>
          <w:bCs/>
          <w:szCs w:val="21"/>
        </w:rPr>
        <w:t>15</w:t>
      </w:r>
      <w:bookmarkStart w:id="0" w:name="OLE_LINK1"/>
      <w:bookmarkStart w:id="1" w:name="OLE_LINK2"/>
      <w:r>
        <w:rPr>
          <w:rFonts w:ascii="Times New Roman" w:cs="Times New Roman" w:hAnsi="Times New Roman"/>
          <w:bCs/>
          <w:szCs w:val="21"/>
        </w:rPr>
        <w:t>0mm</w:t>
      </w:r>
      <w:bookmarkEnd w:id="0"/>
      <w:r>
        <w:rPr>
          <w:rFonts w:ascii="Times New Roman" w:cs="Times New Roman" w:hAnsi="Times New Roman"/>
          <w:bCs/>
          <w:szCs w:val="21"/>
        </w:rPr>
        <w:t>≤</w:t>
      </w:r>
      <w:bookmarkEnd w:id="1"/>
      <w:r>
        <w:rPr>
          <w:rFonts w:ascii="Times New Roman" w:cs="Times New Roman" w:hAnsi="Times New Roman"/>
          <w:bCs/>
          <w:i/>
          <w:szCs w:val="21"/>
        </w:rPr>
        <w:t>H</w:t>
      </w:r>
      <w:r>
        <w:rPr>
          <w:rFonts w:ascii="Times New Roman" w:cs="Times New Roman" w:hAnsi="Times New Roman" w:hint="eastAsia"/>
          <w:bCs/>
          <w:i/>
          <w:szCs w:val="21"/>
        </w:rPr>
        <w:t>≤</w:t>
      </w:r>
      <w:r>
        <w:rPr>
          <w:rFonts w:ascii="Times New Roman" w:cs="Times New Roman" w:hAnsi="Times New Roman"/>
          <w:bCs/>
          <w:szCs w:val="21"/>
        </w:rPr>
        <w:t>250mm</w:t>
      </w:r>
      <w:r>
        <w:rPr>
          <w:rFonts w:ascii="Times New Roman" w:cs="Times New Roman" w:hAnsi="Times New Roman" w:hint="eastAsia"/>
          <w:szCs w:val="21"/>
        </w:rPr>
        <w:t>的单跨承重结构，净跨度</w:t>
      </w:r>
      <w:r>
        <w:rPr>
          <w:rFonts w:ascii="Times New Roman" w:cs="Times New Roman" w:hAnsi="Times New Roman"/>
          <w:i/>
          <w:szCs w:val="21"/>
        </w:rPr>
        <w:t>L</w:t>
      </w:r>
      <w:r>
        <w:rPr>
          <w:rFonts w:ascii="Times New Roman" w:cs="Times New Roman" w:hAnsi="Times New Roman"/>
          <w:szCs w:val="21"/>
        </w:rPr>
        <w:t>≥350mm</w:t>
      </w:r>
      <w:r>
        <w:rPr>
          <w:rFonts w:ascii="Times New Roman" w:cs="Times New Roman" w:hAnsi="Times New Roman" w:hint="eastAsia"/>
          <w:szCs w:val="21"/>
        </w:rPr>
        <w:t>，模型支座范围最大尺寸不得超过</w:t>
      </w:r>
      <w:r>
        <w:rPr>
          <w:rFonts w:ascii="Times New Roman" w:cs="Times New Roman" w:hAnsi="Times New Roman"/>
          <w:szCs w:val="21"/>
        </w:rPr>
        <w:t>200mm</w:t>
      </w:r>
      <w:r>
        <w:rPr>
          <w:rFonts w:ascii="Times New Roman" w:cs="Times New Roman" w:hAnsi="Times New Roman" w:hint="eastAsia"/>
          <w:szCs w:val="21"/>
        </w:rPr>
        <w:t>，并搁置于组委会提供的加载台上。该加载台本身只提供竖向支承，不提供其他约束条件；</w:t>
      </w:r>
      <w:bookmarkStart w:id="2" w:name="_GoBack"/>
      <w:bookmarkEnd w:id="2"/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 xml:space="preserve">3. </w:t>
      </w:r>
      <w:r>
        <w:rPr>
          <w:rFonts w:ascii="Times New Roman" w:cs="Times New Roman" w:hAnsi="Times New Roman" w:hint="eastAsia"/>
          <w:szCs w:val="21"/>
        </w:rPr>
        <w:t>结构最大宽度</w:t>
      </w:r>
      <w:r>
        <w:rPr>
          <w:rFonts w:ascii="Times New Roman" w:cs="Times New Roman" w:hAnsi="Times New Roman"/>
          <w:i/>
          <w:szCs w:val="21"/>
        </w:rPr>
        <w:t>B</w:t>
      </w:r>
      <w:r>
        <w:rPr>
          <w:rFonts w:ascii="Times New Roman" w:cs="Times New Roman" w:hAnsi="Times New Roman"/>
          <w:i/>
          <w:szCs w:val="21"/>
          <w:vertAlign w:val="subscript"/>
        </w:rPr>
        <w:t>max</w:t>
      </w:r>
      <w:r>
        <w:rPr>
          <w:rFonts w:ascii="Times New Roman" w:cs="Times New Roman" w:hAnsi="Times New Roman"/>
          <w:szCs w:val="21"/>
        </w:rPr>
        <w:t>≤150mm</w:t>
      </w:r>
      <w:r>
        <w:rPr>
          <w:rFonts w:ascii="Times New Roman" w:cs="Times New Roman" w:hAnsi="Times New Roman" w:hint="eastAsia"/>
          <w:szCs w:val="21"/>
        </w:rPr>
        <w:t>，最小宽度</w:t>
      </w:r>
      <w:r>
        <w:rPr>
          <w:rFonts w:ascii="Times New Roman" w:cs="Times New Roman" w:hAnsi="Times New Roman"/>
          <w:i/>
          <w:szCs w:val="21"/>
        </w:rPr>
        <w:t>B</w:t>
      </w:r>
      <w:r>
        <w:rPr>
          <w:rFonts w:ascii="Times New Roman" w:cs="Times New Roman" w:hAnsi="Times New Roman"/>
          <w:i/>
          <w:szCs w:val="21"/>
          <w:vertAlign w:val="subscript"/>
        </w:rPr>
        <w:t>min</w:t>
      </w:r>
      <w:r>
        <w:rPr>
          <w:rFonts w:ascii="Times New Roman" w:cs="Times New Roman" w:hAnsi="Times New Roman"/>
          <w:szCs w:val="21"/>
        </w:rPr>
        <w:t>≥50mm</w:t>
      </w:r>
      <w:r>
        <w:rPr>
          <w:rFonts w:ascii="Times New Roman" w:cs="Times New Roman" w:hAnsi="Times New Roman" w:hint="eastAsia"/>
          <w:szCs w:val="21"/>
        </w:rPr>
        <w:t>，构造形式方面无其它限制；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 xml:space="preserve">4. </w:t>
      </w:r>
      <w:r>
        <w:rPr>
          <w:rFonts w:ascii="Times New Roman" w:cs="Times New Roman" w:hAnsi="Times New Roman" w:hint="eastAsia"/>
          <w:szCs w:val="21"/>
        </w:rPr>
        <w:t>组委会将给每队提供一块木板（</w:t>
      </w:r>
      <w:r>
        <w:rPr>
          <w:rFonts w:ascii="Times New Roman" w:cs="Times New Roman" w:hAnsi="Times New Roman"/>
          <w:szCs w:val="21"/>
        </w:rPr>
        <w:t>290mm×290mm</w:t>
      </w:r>
      <w:r>
        <w:rPr>
          <w:rFonts w:ascii="Times New Roman" w:cs="Times New Roman" w:hAnsi="Times New Roman" w:hint="eastAsia"/>
          <w:szCs w:val="21"/>
        </w:rPr>
        <w:t>）作为加载辅助装置，该木板必须放置在结构的跨中位置，然后将砝码放在木板上进行加载</w:t>
      </w:r>
      <w:r>
        <w:rPr>
          <w:rFonts w:ascii="Times New Roman" w:cs="Times New Roman" w:hAnsi="Times New Roman" w:hint="eastAsia"/>
          <w:b/>
          <w:bCs/>
          <w:szCs w:val="21"/>
        </w:rPr>
        <w:t>。因此，参赛队必须确保</w:t>
      </w:r>
      <w:r>
        <w:rPr>
          <w:rFonts w:ascii="Times New Roman" w:cs="Times New Roman" w:hAnsi="Times New Roman" w:hint="eastAsia"/>
          <w:b/>
          <w:szCs w:val="21"/>
        </w:rPr>
        <w:t>模型跨中区域能够放置该木板。若因无法放置该木板而导致无法进行后续的砝码加载，视为加载失败；</w:t>
      </w:r>
      <w:r>
        <w:rPr>
          <w:rFonts w:ascii="Times New Roman" w:cs="Times New Roman" w:hAnsi="Times New Roman"/>
          <w:szCs w:val="21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 xml:space="preserve">5. </w:t>
      </w:r>
      <w:r>
        <w:rPr>
          <w:rFonts w:ascii="Times New Roman" w:cs="Times New Roman" w:hAnsi="Times New Roman" w:hint="eastAsia"/>
          <w:szCs w:val="21"/>
        </w:rPr>
        <w:t>加载环节前测量结构重量，并用砝码进行加载。结构所承载的</w:t>
      </w:r>
      <w:r>
        <w:rPr>
          <w:rFonts w:ascii="Times New Roman" w:cs="Times New Roman" w:hAnsi="Times New Roman" w:hint="eastAsia"/>
          <w:b/>
          <w:bCs/>
          <w:szCs w:val="21"/>
        </w:rPr>
        <w:t>砝码质量越大</w:t>
      </w:r>
      <w:r>
        <w:rPr>
          <w:rFonts w:ascii="Times New Roman" w:cs="Times New Roman" w:hAnsi="Times New Roman" w:hint="eastAsia"/>
          <w:szCs w:val="21"/>
        </w:rPr>
        <w:t>，而且</w:t>
      </w:r>
      <w:r>
        <w:rPr>
          <w:rFonts w:ascii="Times New Roman" w:cs="Times New Roman" w:hAnsi="Times New Roman" w:hint="eastAsia"/>
          <w:b/>
          <w:szCs w:val="21"/>
        </w:rPr>
        <w:t>结构</w:t>
      </w:r>
      <w:r>
        <w:rPr>
          <w:rFonts w:ascii="Times New Roman" w:cs="Times New Roman" w:hAnsi="Times New Roman" w:hint="eastAsia"/>
          <w:b/>
          <w:bCs/>
          <w:szCs w:val="21"/>
        </w:rPr>
        <w:t>质量越轻</w:t>
      </w:r>
      <w:r>
        <w:rPr>
          <w:rFonts w:ascii="Times New Roman" w:cs="Times New Roman" w:hAnsi="Times New Roman" w:hint="eastAsia"/>
          <w:szCs w:val="21"/>
        </w:rPr>
        <w:t>者分数越高，</w:t>
      </w:r>
      <w:r>
        <w:rPr>
          <w:rFonts w:ascii="Times New Roman" w:cs="Times New Roman" w:hAnsi="Times New Roman" w:hint="eastAsia"/>
          <w:b/>
          <w:bCs/>
          <w:szCs w:val="21"/>
        </w:rPr>
        <w:t>即越轻越强者获胜</w:t>
      </w:r>
      <w:r>
        <w:rPr>
          <w:rFonts w:ascii="Times New Roman" w:cs="Times New Roman" w:hAnsi="Times New Roman" w:hint="eastAsia"/>
          <w:szCs w:val="21"/>
        </w:rPr>
        <w:t>；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Cs w:val="21"/>
        </w:rPr>
      </w:pPr>
      <w:r>
        <w:rPr>
          <w:noProof/>
        </w:rPr>
        <w:drawing>
          <wp:inline distT="0" distR="0" distL="0" distB="0">
            <wp:extent cx="3933825" cy="1933574"/>
            <wp:effectExtent l="0" t="0" r="0" b="0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33825" cy="193357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Cs w:val="21"/>
        </w:rPr>
      </w:pPr>
      <w:r>
        <w:rPr>
          <w:rFonts w:ascii="Times New Roman" w:cs="Times New Roman" w:hAnsi="Times New Roman" w:hint="eastAsia"/>
          <w:b/>
          <w:szCs w:val="21"/>
        </w:rPr>
        <w:t>图</w:t>
      </w:r>
      <w:r>
        <w:rPr>
          <w:rFonts w:ascii="Times New Roman" w:cs="Times New Roman" w:hAnsi="Times New Roman"/>
          <w:b/>
          <w:szCs w:val="21"/>
        </w:rPr>
        <w:t xml:space="preserve">1 </w:t>
      </w:r>
      <w:r>
        <w:rPr>
          <w:rFonts w:ascii="Times New Roman" w:cs="Times New Roman" w:hAnsi="Times New Roman" w:hint="eastAsia"/>
          <w:b/>
          <w:szCs w:val="21"/>
        </w:rPr>
        <w:t>结构立面示意图（尺寸单位</w:t>
      </w:r>
      <w:r>
        <w:rPr>
          <w:rFonts w:ascii="Times New Roman" w:cs="Times New Roman" w:hAnsi="Times New Roman"/>
          <w:b/>
          <w:szCs w:val="21"/>
        </w:rPr>
        <w:t>:mm</w:t>
      </w:r>
      <w:r>
        <w:rPr>
          <w:rFonts w:ascii="Times New Roman" w:cs="Times New Roman" w:hAnsi="Times New Roman" w:hint="eastAsia"/>
          <w:b/>
          <w:szCs w:val="21"/>
        </w:rPr>
        <w:t>）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 w:hint="eastAsia"/>
          <w:b/>
          <w:bCs/>
          <w:szCs w:val="21"/>
        </w:rPr>
        <w:t>二、材料和工具（</w:t>
      </w:r>
      <w:r>
        <w:rPr>
          <w:rFonts w:ascii="Times New Roman" w:cs="Times New Roman" w:hAnsi="Times New Roman" w:hint="eastAsia"/>
          <w:b/>
          <w:szCs w:val="21"/>
        </w:rPr>
        <w:t>现场领取）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 w:hint="eastAsia"/>
          <w:szCs w:val="21"/>
        </w:rPr>
        <w:t>白卡纸若干张（</w:t>
      </w:r>
      <w:r>
        <w:rPr>
          <w:rFonts w:ascii="Times New Roman" w:cs="Times New Roman" w:hAnsi="Times New Roman"/>
          <w:szCs w:val="21"/>
        </w:rPr>
        <w:t>A1</w:t>
      </w:r>
      <w:r>
        <w:rPr>
          <w:rFonts w:ascii="Times New Roman" w:cs="Times New Roman" w:hAnsi="Times New Roman" w:hint="eastAsia"/>
          <w:szCs w:val="21"/>
        </w:rPr>
        <w:t>一张、</w:t>
      </w:r>
      <w:r>
        <w:rPr>
          <w:rFonts w:ascii="Times New Roman" w:cs="Times New Roman" w:hAnsi="Times New Roman"/>
          <w:szCs w:val="21"/>
        </w:rPr>
        <w:t>A3</w:t>
      </w:r>
      <w:r>
        <w:rPr>
          <w:rFonts w:ascii="Times New Roman" w:cs="Times New Roman" w:hAnsi="Times New Roman" w:hint="eastAsia"/>
          <w:szCs w:val="21"/>
        </w:rPr>
        <w:t>两张）、白乳胶（</w:t>
      </w:r>
      <w:r>
        <w:rPr>
          <w:rFonts w:ascii="Times New Roman" w:cs="Times New Roman" w:hAnsi="Times New Roman"/>
          <w:szCs w:val="21"/>
        </w:rPr>
        <w:t>100ml</w:t>
      </w:r>
      <w:r>
        <w:rPr>
          <w:rFonts w:ascii="Times New Roman" w:cs="Times New Roman" w:hAnsi="Times New Roman" w:hint="eastAsia"/>
          <w:szCs w:val="21"/>
        </w:rPr>
        <w:t>）。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 w:hint="eastAsia"/>
          <w:b/>
          <w:bCs/>
          <w:szCs w:val="21"/>
        </w:rPr>
        <w:t>三、比赛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1.</w:t>
      </w:r>
      <w:r>
        <w:rPr>
          <w:rFonts w:ascii="Times New Roman" w:cs="Times New Roman" w:hAnsi="Times New Roman" w:hint="eastAsia"/>
          <w:szCs w:val="21"/>
        </w:rPr>
        <w:t>工具不能成为结构的一部分；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2.</w:t>
      </w:r>
      <w:r>
        <w:rPr>
          <w:rFonts w:ascii="Times New Roman" w:cs="Times New Roman" w:hAnsi="Times New Roman" w:hint="eastAsia"/>
          <w:szCs w:val="21"/>
        </w:rPr>
        <w:t>比赛开始前五天公布赛题（</w:t>
      </w:r>
      <w:r>
        <w:rPr>
          <w:rFonts w:ascii="Times New Roman" w:cs="Times New Roman" w:hAnsi="Times New Roman"/>
          <w:szCs w:val="21"/>
        </w:rPr>
        <w:t>5</w:t>
      </w:r>
      <w:r>
        <w:rPr>
          <w:rFonts w:ascii="Times New Roman" w:cs="Times New Roman" w:hAnsi="Times New Roman" w:hint="eastAsia"/>
          <w:szCs w:val="21"/>
        </w:rPr>
        <w:t>月</w:t>
      </w:r>
      <w:r>
        <w:rPr>
          <w:rFonts w:ascii="Times New Roman" w:cs="Times New Roman" w:hAnsi="Times New Roman"/>
          <w:szCs w:val="21"/>
        </w:rPr>
        <w:t>1</w:t>
      </w:r>
      <w:r>
        <w:rPr>
          <w:rFonts w:ascii="Times New Roman" w:cs="Times New Roman" w:hAnsi="Times New Roman" w:hint="eastAsia"/>
          <w:szCs w:val="21"/>
        </w:rPr>
        <w:t>日早），前两天收模型（</w:t>
      </w:r>
      <w:r>
        <w:rPr>
          <w:rFonts w:ascii="Times New Roman" w:cs="Times New Roman" w:hAnsi="Times New Roman"/>
          <w:szCs w:val="21"/>
        </w:rPr>
        <w:t>5</w:t>
      </w:r>
      <w:r>
        <w:rPr>
          <w:rFonts w:ascii="Times New Roman" w:cs="Times New Roman" w:hAnsi="Times New Roman" w:hint="eastAsia"/>
          <w:szCs w:val="21"/>
        </w:rPr>
        <w:t>月</w:t>
      </w:r>
      <w:r>
        <w:rPr>
          <w:rFonts w:ascii="Times New Roman" w:cs="Times New Roman" w:hAnsi="Times New Roman"/>
          <w:szCs w:val="21"/>
        </w:rPr>
        <w:t>4</w:t>
      </w:r>
      <w:r>
        <w:rPr>
          <w:rFonts w:ascii="Times New Roman" w:cs="Times New Roman" w:hAnsi="Times New Roman" w:hint="eastAsia"/>
          <w:szCs w:val="21"/>
        </w:rPr>
        <w:t>日晚）；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3.</w:t>
      </w:r>
      <w:r>
        <w:rPr>
          <w:rFonts w:ascii="Times New Roman" w:cs="Times New Roman" w:hAnsi="Times New Roman" w:hint="eastAsia"/>
          <w:szCs w:val="21"/>
        </w:rPr>
        <w:t>严格控制模型尺寸满足赛题各项要求；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4.</w:t>
      </w:r>
      <w:r>
        <w:rPr>
          <w:rFonts w:ascii="Times New Roman" w:cs="Times New Roman" w:hAnsi="Times New Roman" w:hint="eastAsia"/>
          <w:szCs w:val="21"/>
        </w:rPr>
        <w:t>模型制作过程中不提供试加载。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 w:hint="eastAsia"/>
          <w:b/>
          <w:bCs/>
          <w:szCs w:val="21"/>
        </w:rPr>
        <w:t>四、加载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1.</w:t>
      </w:r>
      <w:r>
        <w:rPr>
          <w:rFonts w:ascii="Times New Roman" w:cs="Times New Roman" w:hAnsi="Times New Roman" w:hint="eastAsia"/>
          <w:szCs w:val="21"/>
        </w:rPr>
        <w:t>先测模型质量；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2.</w:t>
      </w:r>
      <w:r>
        <w:rPr>
          <w:rFonts w:ascii="Times New Roman" w:cs="Times New Roman" w:hAnsi="Times New Roman" w:hint="eastAsia"/>
          <w:szCs w:val="21"/>
        </w:rPr>
        <w:t>将会提供一块木板（重量约为</w:t>
      </w:r>
      <w:r>
        <w:rPr>
          <w:rFonts w:ascii="Times New Roman" w:cs="Times New Roman" w:hAnsi="Times New Roman"/>
          <w:szCs w:val="21"/>
        </w:rPr>
        <w:t>600g</w:t>
      </w:r>
      <w:r>
        <w:rPr>
          <w:rFonts w:ascii="Times New Roman" w:cs="Times New Roman" w:hAnsi="Times New Roman" w:hint="eastAsia"/>
          <w:szCs w:val="21"/>
        </w:rPr>
        <w:t>）放置在结构上，将砝码放在木板上进行加载，</w:t>
      </w:r>
      <w:r>
        <w:rPr>
          <w:rFonts w:ascii="Times New Roman" w:cs="Times New Roman" w:hAnsi="Times New Roman" w:hint="eastAsia"/>
          <w:b/>
          <w:szCs w:val="21"/>
        </w:rPr>
        <w:t>无法承受木板重量的即为零分</w:t>
      </w:r>
      <w:r>
        <w:rPr>
          <w:rFonts w:ascii="Times New Roman" w:cs="Times New Roman" w:hAnsi="Times New Roman" w:hint="eastAsia"/>
          <w:szCs w:val="21"/>
        </w:rPr>
        <w:t>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3.</w:t>
      </w:r>
      <w:r>
        <w:rPr>
          <w:rFonts w:ascii="Times New Roman" w:cs="Times New Roman" w:hAnsi="Times New Roman" w:hint="eastAsia"/>
          <w:szCs w:val="21"/>
        </w:rPr>
        <w:t>加载过程由队员独立进行，即砝码由队员自己放置，加载时间限制在</w:t>
      </w:r>
      <w:r>
        <w:rPr>
          <w:rFonts w:ascii="Times New Roman" w:cs="Times New Roman" w:hAnsi="Times New Roman"/>
          <w:szCs w:val="21"/>
        </w:rPr>
        <w:t>10</w:t>
      </w:r>
      <w:r>
        <w:rPr>
          <w:rFonts w:ascii="Times New Roman" w:cs="Times New Roman" w:hAnsi="Times New Roman" w:hint="eastAsia"/>
          <w:szCs w:val="21"/>
        </w:rPr>
        <w:t>分钟以内，若时间到，则此时结构的承载质量即视为模型最终承载质量；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4.</w:t>
      </w:r>
      <w:r>
        <w:rPr>
          <w:rFonts w:ascii="Times New Roman" w:cs="Times New Roman" w:hAnsi="Times New Roman" w:hint="eastAsia"/>
          <w:szCs w:val="21"/>
        </w:rPr>
        <w:t>砝码每次只能放置若干块（两种规格：</w:t>
      </w:r>
      <w:r>
        <w:rPr>
          <w:rFonts w:ascii="Times New Roman" w:cs="Times New Roman" w:hAnsi="Times New Roman"/>
          <w:szCs w:val="21"/>
        </w:rPr>
        <w:t>0.667kg/</w:t>
      </w:r>
      <w:r>
        <w:rPr>
          <w:rFonts w:ascii="Times New Roman" w:cs="Times New Roman" w:hAnsi="Times New Roman" w:hint="eastAsia"/>
          <w:szCs w:val="21"/>
        </w:rPr>
        <w:t>块和</w:t>
      </w:r>
      <w:r>
        <w:rPr>
          <w:rFonts w:ascii="Times New Roman" w:cs="Times New Roman" w:hAnsi="Times New Roman"/>
          <w:szCs w:val="21"/>
        </w:rPr>
        <w:t>1.667kg/</w:t>
      </w:r>
      <w:r>
        <w:rPr>
          <w:rFonts w:ascii="Times New Roman" w:cs="Times New Roman" w:hAnsi="Times New Roman" w:hint="eastAsia"/>
          <w:szCs w:val="21"/>
        </w:rPr>
        <w:t>块），每次加载后静置</w:t>
      </w:r>
      <w:r>
        <w:rPr>
          <w:rFonts w:ascii="Times New Roman" w:cs="Times New Roman" w:hAnsi="Times New Roman"/>
          <w:szCs w:val="21"/>
        </w:rPr>
        <w:t>30</w:t>
      </w:r>
      <w:r>
        <w:rPr>
          <w:rFonts w:ascii="Times New Roman" w:cs="Times New Roman" w:hAnsi="Times New Roman" w:hint="eastAsia"/>
          <w:szCs w:val="21"/>
        </w:rPr>
        <w:t>秒；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5.</w:t>
      </w:r>
      <w:r>
        <w:rPr>
          <w:rFonts w:ascii="Times New Roman" w:cs="Times New Roman" w:hAnsi="Times New Roman" w:hint="eastAsia"/>
          <w:szCs w:val="21"/>
        </w:rPr>
        <w:t>加载质量达</w:t>
      </w:r>
      <w:r>
        <w:rPr>
          <w:rFonts w:ascii="Times New Roman" w:cs="Times New Roman" w:hAnsi="Times New Roman" w:hint="eastAsia"/>
          <w:szCs w:val="21"/>
        </w:rPr>
        <w:t>30</w:t>
      </w:r>
      <w:r>
        <w:rPr>
          <w:rFonts w:ascii="Times New Roman" w:cs="Times New Roman" w:hAnsi="Times New Roman"/>
          <w:szCs w:val="21"/>
        </w:rPr>
        <w:t>kg</w:t>
      </w:r>
      <w:r>
        <w:rPr>
          <w:rFonts w:ascii="Times New Roman" w:cs="Times New Roman" w:hAnsi="Times New Roman" w:hint="eastAsia"/>
          <w:szCs w:val="21"/>
        </w:rPr>
        <w:t>则停止加载，以防危险事故的发生；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Cs w:val="21"/>
        </w:rPr>
      </w:pPr>
      <w:r>
        <w:rPr>
          <w:rFonts w:ascii="Times New Roman" w:cs="Times New Roman" w:hAnsi="Times New Roman"/>
          <w:b/>
          <w:szCs w:val="21"/>
        </w:rPr>
        <w:t>6.</w:t>
      </w:r>
      <w:r>
        <w:rPr>
          <w:rFonts w:ascii="Times New Roman" w:cs="Times New Roman" w:hAnsi="Times New Roman" w:hint="eastAsia"/>
          <w:b/>
          <w:szCs w:val="21"/>
        </w:rPr>
        <w:t>模型整体垮塌（不含局部变形）或砝码掉落则视为加载失败，结构最终承载质量应为上一级加载时承载质量。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 w:hint="eastAsia"/>
          <w:b/>
          <w:bCs/>
          <w:szCs w:val="21"/>
        </w:rPr>
        <w:t>五、评分标准</w:t>
      </w:r>
    </w:p>
    <w:p>
      <w:pPr>
        <w:pStyle w:val="style0"/>
        <w:spacing w:lineRule="auto" w:line="36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 w:hint="eastAsia"/>
          <w:b/>
          <w:bCs/>
          <w:szCs w:val="21"/>
        </w:rPr>
        <w:t>加载成绩以结构承载质量来评定成绩高低，具体算法如下：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noProof/>
          <w:position w:val="-26"/>
        </w:rPr>
        <w:drawing>
          <wp:inline distT="0" distR="0" distL="0" distB="0">
            <wp:extent cx="1704975" cy="352425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04975" cy="3524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noProof/>
          <w:position w:val="-26"/>
        </w:rPr>
        <w:drawing>
          <wp:inline distT="0" distR="0" distL="0" distB="0">
            <wp:extent cx="2390775" cy="352425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90775" cy="3524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Header Char_31f63fac-537c-48e5-b3f7-1c3057888423"/>
    <w:basedOn w:val="style65"/>
    <w:next w:val="style4097"/>
    <w:link w:val="style31"/>
    <w:uiPriority w:val="99"/>
    <w:rPr>
      <w:rFonts w:cs="Times New Roman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Footer Char_53146580-c6f8-4ff5-995a-d69665685374"/>
    <w:basedOn w:val="style65"/>
    <w:next w:val="style4098"/>
    <w:link w:val="style32"/>
    <w:uiPriority w:val="99"/>
    <w:rPr>
      <w:rFonts w:cs="Times New Roman"/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cs="Times New Roman"/>
      <w:sz w:val="18"/>
      <w:szCs w:val="18"/>
    </w:rPr>
  </w:style>
  <w:style w:type="character" w:styleId="style39">
    <w:name w:val="annotation reference"/>
    <w:basedOn w:val="style65"/>
    <w:next w:val="style39"/>
    <w:uiPriority w:val="99"/>
    <w:rPr>
      <w:rFonts w:cs="Times New Roman"/>
      <w:sz w:val="21"/>
      <w:szCs w:val="21"/>
    </w:rPr>
  </w:style>
  <w:style w:type="paragraph" w:styleId="style30">
    <w:name w:val="annotation text"/>
    <w:basedOn w:val="style0"/>
    <w:next w:val="style30"/>
    <w:link w:val="style4100"/>
    <w:uiPriority w:val="99"/>
    <w:pPr>
      <w:jc w:val="left"/>
    </w:pPr>
    <w:rPr/>
  </w:style>
  <w:style w:type="character" w:customStyle="1" w:styleId="style4100">
    <w:name w:val="Comment Text Char"/>
    <w:basedOn w:val="style65"/>
    <w:next w:val="style4100"/>
    <w:link w:val="style30"/>
    <w:uiPriority w:val="99"/>
    <w:rPr>
      <w:rFonts w:cs="Times New Roman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Comment Subject Char"/>
    <w:basedOn w:val="style4100"/>
    <w:next w:val="style4101"/>
    <w:link w:val="style106"/>
    <w:uiPriority w:val="99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wmf"/><Relationship Id="rId3" Type="http://schemas.openxmlformats.org/officeDocument/2006/relationships/image" Target="media/image2.wmf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Words>732</Words>
  <Characters>824</Characters>
  <Application>WPS Office</Application>
  <DocSecurity>0</DocSecurity>
  <Paragraphs>28</Paragraphs>
  <ScaleCrop>false</ScaleCrop>
  <Company>seu</Company>
  <LinksUpToDate>false</LinksUpToDate>
  <CharactersWithSpaces>831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2017-04-30T13:44:00Z</dcterms:created>
  <dc:creator>zhumingliang</dc:creator>
  <lastModifiedBy>MI 5</lastModifiedBy>
  <dcterms:modified xsi:type="dcterms:W3CDTF">2017-05-01T05:08:43Z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